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91" w:rsidRDefault="002F549D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Меры поддержки малого и среднего бизнеса для преодоления санкционного давления (федеральные)</w:t>
      </w:r>
    </w:p>
    <w:p w:rsidR="00197591" w:rsidRDefault="00197591">
      <w:pPr>
        <w:tabs>
          <w:tab w:val="left" w:pos="3969"/>
          <w:tab w:val="left" w:pos="13892"/>
        </w:tabs>
        <w:jc w:val="center"/>
        <w:rPr>
          <w:b/>
          <w:u w:val="single"/>
        </w:rPr>
      </w:pPr>
      <w:bookmarkStart w:id="1" w:name="_Hlk41051656"/>
    </w:p>
    <w:tbl>
      <w:tblPr>
        <w:tblStyle w:val="af6"/>
        <w:tblW w:w="15422" w:type="dxa"/>
        <w:jc w:val="center"/>
        <w:tblLayout w:type="fixed"/>
        <w:tblLook w:val="04A0" w:firstRow="1" w:lastRow="0" w:firstColumn="1" w:lastColumn="0" w:noHBand="0" w:noVBand="1"/>
      </w:tblPr>
      <w:tblGrid>
        <w:gridCol w:w="2691"/>
        <w:gridCol w:w="5246"/>
        <w:gridCol w:w="2409"/>
        <w:gridCol w:w="2678"/>
        <w:gridCol w:w="2398"/>
      </w:tblGrid>
      <w:tr w:rsidR="00197591" w:rsidTr="00736C48">
        <w:trPr>
          <w:tblHeader/>
          <w:jc w:val="center"/>
        </w:trPr>
        <w:tc>
          <w:tcPr>
            <w:tcW w:w="2691" w:type="dxa"/>
          </w:tcPr>
          <w:p w:rsidR="00197591" w:rsidRDefault="002F54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меры</w:t>
            </w:r>
          </w:p>
        </w:tc>
        <w:tc>
          <w:tcPr>
            <w:tcW w:w="5246" w:type="dxa"/>
          </w:tcPr>
          <w:p w:rsidR="00197591" w:rsidRDefault="002F54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меры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678" w:type="dxa"/>
          </w:tcPr>
          <w:p w:rsidR="00197591" w:rsidRDefault="002F54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398" w:type="dxa"/>
          </w:tcPr>
          <w:p w:rsidR="00197591" w:rsidRDefault="002F54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НПА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участников фондового рынка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Организации-эмитенты получили право не раскрывать частично или в полном объёме информацию о выпуске ценных бумаг.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порядок касается информации об операциях в период с 1 января 2019 года по 31 декабря 2022 года.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2022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Организации-эмитенты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12.03.2022  № 351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лицензий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лицензий и других видов разрешительных документов автоматически продлевается на 12 месяцев, а их получение или переоформление будет проходить по упрощённой схеме (без обязательных процедур оценки соответствия, без уплаты госпошлины, без оплаты необходимых госуслуг)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Мера затронет более 120 видов разрешений в том числе в таких важных сферах деятельности, как 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сельское хозяйство;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промышленность;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розничная торговля (включая торговлю подакцизными товарами);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услуг связи;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услуги такси.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переносится на год необходимость прохождения подтверждения соответствия выпускаемой продукции.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2022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МСП, при осуществлении деятельности которых необходимы разрешительные документы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12.03.2022 № 353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Продление меры по компенсации МСП расходов  на систему быстрых платежей СБП(банковской </w:t>
            </w:r>
            <w:r>
              <w:rPr>
                <w:sz w:val="24"/>
                <w:szCs w:val="24"/>
              </w:rPr>
              <w:lastRenderedPageBreak/>
              <w:t>комиссии) (продление меры)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СБП – сервис Банка России, который в том числе позволяет гражданам оплачивать товары и услуги с помощью мобильных приложений банков – участников системы. Комиссия не превышает 0,7% от стоимости товара.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Банк, подключённый к системе, передаёт в Минэкономразвития данные о количестве транзакций и уплаченной предприятиями комиссии. Далее в течение 20 дней деньги на компенсации поступают в банк, а затем в течение пяти дней он перечисляет их бизнесу.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решение о субсидировании предприятий МСП, пользующихся СБП, было принято в июле 2021 года и действовало до 1 января 2022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 июля 2022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МСП, использующие СБП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Правительства Российской Федерации от 4.03.2022 № 411-р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каникулы и льготные кредиты для аграриев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Сельхозпроизводители получили право отсрочки платежей на 6 месяцев по льготным инвестиционным кредитам, срок договоров по которым истекает в 2022 году.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идёт о платежах, которые приходятся на период с 1 марта по 31 мая 2022 года. При положительном решении банка о предоставлении кредитных каникул отсрочка по таким платежам может достигать шести месяцев.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краткосрочных льготных займов, срок договоров по которым также истекает в 2022 году, предусмотрена возможность пролонгации срока кредита ещё на один год. Таким образом, сельхозпроизводители смогут уменьшить размер ежемесячных платежей и снизить кредитную нагрузку.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Льготная кредитная программа для аграриев была запущена в 2017 году. В её рамках сельхозпроизводители могут взять краткосрочный или инвестиционный кредит по ставке до 5% на развитие растениеводства и животноводства, а также на строительство, </w:t>
            </w:r>
            <w:r>
              <w:rPr>
                <w:sz w:val="24"/>
                <w:szCs w:val="24"/>
              </w:rPr>
              <w:lastRenderedPageBreak/>
              <w:t>реконструкцию или модернизацию предприятий по переработке сельхозсырья. Льготный краткосрочный кредит выдаётся на срок до 1 года, инвестиционный – от 2 до 15 лет. Новые кредиты также будут выдавать на этих условиях.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31 декабря 2022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Сельхозтоваро-производители (за исключением сельскохозяйственных кредитных потребительских кооперативов).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и ИП, осуществляющие производство, первичную и (или) последующую (промышленную переработку сельскохозяйственной продукции и ее реализацию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3.03.2022 № 280 (отсрочка, пролонгация)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Правительства Российской Федерации от 9.03.2022 № 435-р (льготные кредиты)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каникулы для МСП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для бизнеса из наиболее пострадавших отраслей, заключивших кредитные договоры до 01.03.2022.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изменения условий по действующим кредитам: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Отсрочка основного долга и процентов до 6 месяцев с продлением срока кредита — для ИП и юридических лиц.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Уменьшение регулярного платежа — только для ИП.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продления срока кредита размер платежа будет аналогичным тому, который был до изменения условий. 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Обратиться за получением отсрочки или уменьшением размера платежей можно до 30 сентября 2022 года.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МСП должен работать в одной из отраслей, перечень которых утверждён постановлением Правительства Российской Федерации от 10.03.2022 № 337.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число таких отраслей вошли: 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сельское хозяйство;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наука;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образование;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здравоохранение;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культура;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-,гостиничный бизнес;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общественное питание;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информационные технологии (в том числе производство компьютеров и разработка ПО);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оптовая и розничная торговля;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сфера услуг;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обрабатывающие производства, включая </w:t>
            </w:r>
            <w:r>
              <w:rPr>
                <w:sz w:val="24"/>
                <w:szCs w:val="24"/>
              </w:rPr>
              <w:lastRenderedPageBreak/>
              <w:t>производство лекарств, продуктов питания, одежды, мебели, бытовой химии, электрического оборудования, резиновых и пластмассовых изделий.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более 70 кодов ОКВЭД 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Правительства Российской Федерации от 10.03.2022 № 337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антикризисные программы льготного кредитования субъектов МСП от Банка России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по кредиту: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- 15% для малого бизнеса;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- 13,5% для среднего.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Льготная ставка действует в течение 12 месяцев с даты заключения договора. Далее применяется стандартная ставка, которую определяет банк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сумма кредита: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- 300 млн ₽ для малого бизнеса;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млрд ₽ для среднего.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кредита определяется индивидуально. 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оборотных кредитов — до 3 лет, 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инвестиционных — до 10 лет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2022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Потенциальный заемщик включён в реестр субъектов МСП, исключение — государственные и муниципальные унитарные предприятия. При этом не относится к предприятиям, указанным в ч. 3-4 ст. 14 209-ФЗ.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Потенциальный заемщик не связан прямо или через учредителей с долей участия в уставном капитале более 25% с юридическими лицами, не относящимися к субъектам МСП.</w:t>
            </w:r>
          </w:p>
        </w:tc>
        <w:tc>
          <w:tcPr>
            <w:tcW w:w="2398" w:type="dxa"/>
          </w:tcPr>
          <w:p w:rsidR="00197591" w:rsidRPr="00736C48" w:rsidRDefault="002F549D">
            <w:pPr>
              <w:rPr>
                <w:sz w:val="24"/>
                <w:szCs w:val="24"/>
              </w:rPr>
            </w:pPr>
            <w:r w:rsidRPr="00736C48">
              <w:rPr>
                <w:sz w:val="24"/>
                <w:szCs w:val="24"/>
              </w:rPr>
              <w:t xml:space="preserve">Информационное сообщение Банка России от 5 марта 2022 г. </w:t>
            </w:r>
          </w:p>
          <w:p w:rsidR="00197591" w:rsidRDefault="002F549D">
            <w:pPr>
              <w:rPr>
                <w:sz w:val="24"/>
                <w:szCs w:val="24"/>
                <w:highlight w:val="yellow"/>
              </w:rPr>
            </w:pPr>
            <w:r w:rsidRPr="00736C48">
              <w:rPr>
                <w:sz w:val="24"/>
                <w:szCs w:val="24"/>
              </w:rPr>
              <w:t>«Банк России совместно с Правительством запускает антикризисные программы льготного кредитования МСП»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Возобновление программы льготного кредитования по ставке до 8,5% годовых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программы предприниматели смогут получить льготные кредиты по ставке не более 8,5% на инвестиционные цели до 1 млрд рублей и на оборотные цели - до 100 млн рублей. 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2024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Субъекты МСП приоритетных отраслей: туда вошли, например, деятельность </w:t>
            </w:r>
            <w:r>
              <w:rPr>
                <w:sz w:val="24"/>
                <w:szCs w:val="24"/>
              </w:rPr>
              <w:lastRenderedPageBreak/>
              <w:t>в области образования, культуры и спорта, гостиничная деятельность, туристическая деятельность (внутренний и въездной туризм), профессиональная, научная и техническая деятельность, деятельность по водоснабжению и водоотведению, утилизации отходов, ликвидации загрязнений.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>
              <w:rPr>
                <w:sz w:val="24"/>
                <w:szCs w:val="24"/>
              </w:rPr>
              <w:lastRenderedPageBreak/>
              <w:t>Федерации от 07.09.2021 № 1513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Оборудование в льготный лизинг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программы льготного лизинга оборудование предоставляется субъектам индивидуального и малого предпринимательства по ставке: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- 6% годовых (для отечественного оборудования);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- 8% годовых (для иностранного оборудования). Сумма финансирования - от 0,5 млн рублей до 50 млн рублей.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лизинга – от 13 до 84 месяцев.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2024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Компания должна находиться в Едином реестре субъектов МСП.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Компания должна быть зарегистрирована на территории России.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Компания должна работать на рынке не менее 1 года (сельскохозяйственный кооператив должен существовать не менее 1 года) и относиться к микро- и малому бизнесу.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Выручка за год не должна превышать 800 </w:t>
            </w:r>
            <w:r>
              <w:rPr>
                <w:sz w:val="24"/>
                <w:szCs w:val="24"/>
              </w:rPr>
              <w:lastRenderedPageBreak/>
              <w:t>млн рублей, а штат – 100 человек.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должно быть налоговых задолженностей и просрочек по ранее взятым кредитам.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В программе участвуют следующие дочерние региональные лизинговые компании АО «Корпорация «МСП»:   </w:t>
            </w:r>
          </w:p>
          <w:p w:rsidR="00197591" w:rsidRDefault="00197591">
            <w:pPr>
              <w:rPr>
                <w:sz w:val="24"/>
                <w:szCs w:val="24"/>
                <w:highlight w:val="white"/>
              </w:rPr>
            </w:pPr>
          </w:p>
          <w:p w:rsidR="00197591" w:rsidRDefault="002F549D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 АО «РЛК Республики Татарстан».</w:t>
            </w:r>
          </w:p>
          <w:p w:rsidR="00197591" w:rsidRDefault="002F549D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 АО «РЛК Республики Башкортостан».</w:t>
            </w:r>
          </w:p>
          <w:p w:rsidR="00197591" w:rsidRDefault="002F549D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 АО «РЛК Республики Саха (Якутия)».</w:t>
            </w:r>
          </w:p>
          <w:p w:rsidR="00197591" w:rsidRDefault="002F549D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4. АО «РЛК Ярославской области».</w:t>
            </w:r>
          </w:p>
          <w:p w:rsidR="00197591" w:rsidRDefault="00197591">
            <w:pPr>
              <w:rPr>
                <w:sz w:val="24"/>
                <w:szCs w:val="24"/>
                <w:highlight w:val="white"/>
              </w:rPr>
            </w:pPr>
          </w:p>
          <w:p w:rsidR="00197591" w:rsidRDefault="002F549D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Программа реализуется в соответствии с нормативными документами лизинговых компаний.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Мораторий на плановые проверки бизнеса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2022 года будет действовать мораторий на проведение плановых проверок предприятий и предпринимателей.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плановые проверки будут сохранены только в отношении небольшого закрытого перечня объектов контроля, в рамках санитарно-эпидемиологического, ветеринарного и пожарного контроля, а также надзора в области промышленной безопасности.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граждан, угрозе обороне страны и безопасности государства, а также при угрозе возникновения чрезвычайных ситуаций природного и техногенного характера. При этом такие проверки должны быть согласованы с органами прокуратуры.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Внеплановые проверки также могут проводиться по поручению Президента Российской Федерации и Правительства </w:t>
            </w:r>
            <w:r>
              <w:rPr>
                <w:sz w:val="24"/>
                <w:szCs w:val="24"/>
              </w:rPr>
              <w:lastRenderedPageBreak/>
              <w:t>Российской Федерации.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конца 2022 года</w:t>
            </w:r>
          </w:p>
          <w:p w:rsidR="00197591" w:rsidRDefault="00197591">
            <w:pPr>
              <w:jc w:val="center"/>
              <w:rPr>
                <w:sz w:val="24"/>
                <w:szCs w:val="24"/>
              </w:rPr>
            </w:pPr>
          </w:p>
          <w:p w:rsidR="00197591" w:rsidRDefault="00197591">
            <w:pPr>
              <w:jc w:val="center"/>
              <w:rPr>
                <w:sz w:val="24"/>
                <w:szCs w:val="24"/>
              </w:rPr>
            </w:pPr>
          </w:p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аккредитованных организаций в сфере информационных технологий отменены до конца 2024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10.03.2022 № 336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уголовных дел по налоговым преступлениям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перечня поводов возбуждения уголовных дел о налоговых преступлениях.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Усовершенствован порядок возбуждения уголовных дел о преступлениях, связанных с уклонением от уплаты обязательных платежей.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Уголовно-процессуальный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9.03.2022 г. 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51-ФЗ «О внесении изменений в статьи 140 и 144 Уголовно-процессуального кодекса Российской Федерации»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штрафов по госконтрактам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делает бессрочным порядок списания штрафов и пеней с подрядчиков, нарушивших обязательства по государственному или муниципальному контракту из-за внешних санкций.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списания пеней и штрафов подрядчику достаточно будет представить госзаказчику письменное обоснование, подтверждающее нарушение обязательств из-за внешних санкций, с приложением документов, если они имеются.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МСП-подрядные организации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10.03.2022 № 340</w:t>
            </w:r>
          </w:p>
        </w:tc>
      </w:tr>
      <w:tr w:rsidR="00197591" w:rsidTr="00736C48">
        <w:trPr>
          <w:trHeight w:val="276"/>
          <w:jc w:val="center"/>
        </w:trPr>
        <w:tc>
          <w:tcPr>
            <w:tcW w:w="2691" w:type="dxa"/>
            <w:vMerge w:val="restart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штрафов по 223-ФЗ</w:t>
            </w:r>
          </w:p>
        </w:tc>
        <w:tc>
          <w:tcPr>
            <w:tcW w:w="5246" w:type="dxa"/>
            <w:vMerge w:val="restart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Предпринимателей-поставщиков, в том числе компании малого, среднего бизнеса и самозанятых не будут штрафовать за неисполнение договоров по 223-ФЗ из-за введенных санкций до конца 2022 года.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возможность продлить срок исполнения договоров и скорректировать цены в 2022 году в случае нарушений обязательств поставщиком (исполнителем, подрядчиком).</w:t>
            </w:r>
          </w:p>
        </w:tc>
        <w:tc>
          <w:tcPr>
            <w:tcW w:w="2409" w:type="dxa"/>
            <w:vMerge w:val="restart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конца 2022 года</w:t>
            </w:r>
          </w:p>
        </w:tc>
        <w:tc>
          <w:tcPr>
            <w:tcW w:w="2678" w:type="dxa"/>
            <w:vMerge w:val="restart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МСП, самозанятые</w:t>
            </w:r>
          </w:p>
        </w:tc>
        <w:tc>
          <w:tcPr>
            <w:tcW w:w="2398" w:type="dxa"/>
            <w:vMerge w:val="restart"/>
          </w:tcPr>
          <w:p w:rsidR="00197591" w:rsidRDefault="002F549D">
            <w:pPr>
              <w:rPr>
                <w:sz w:val="24"/>
                <w:szCs w:val="24"/>
                <w:highlight w:val="yellow"/>
              </w:rPr>
            </w:pPr>
            <w:r w:rsidRPr="00736C48">
              <w:rPr>
                <w:sz w:val="24"/>
                <w:szCs w:val="24"/>
              </w:rPr>
              <w:t>Информация Корпорации МСП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Отсрочка обязательств по субсидиям для промышленников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Промышленные компании и индивидуальные предприниматели, пострадавшие от введения санкций, смогут получить отсрочку исполнения </w:t>
            </w:r>
            <w:r>
              <w:rPr>
                <w:sz w:val="24"/>
                <w:szCs w:val="24"/>
              </w:rPr>
              <w:lastRenderedPageBreak/>
              <w:t>ряда обязательств по просубсидированным проектам.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19759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касается соглашений, сроки исполнения </w:t>
            </w:r>
            <w:r>
              <w:rPr>
                <w:sz w:val="24"/>
                <w:szCs w:val="24"/>
              </w:rPr>
              <w:lastRenderedPageBreak/>
              <w:t xml:space="preserve">обязательств по которым истекают после 23.02.2022. Теперь срок достижения результатов по таким соглашениям продлевается до 12 месяцев. </w:t>
            </w:r>
          </w:p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Возвращать субсидию или платить штраф организациям не придётся.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Мера распространяется на предприятия, получающие </w:t>
            </w:r>
            <w:r>
              <w:rPr>
                <w:sz w:val="24"/>
                <w:szCs w:val="24"/>
              </w:rPr>
              <w:lastRenderedPageBreak/>
              <w:t>господдержку в рамках государственных программ: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«Развитие промышленности и повышение её конкурентоспособности»;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«Развитие авиационной промышленности»;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«Развитие электронной и радиоэлектронной промышленности»;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«Развитие судостроения и техники для освоения шельфовых месторождений»;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«Развитие фармацевтической и медицинской промышленности»;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«Научно-технологическое развитие Российской Федерации».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>
              <w:rPr>
                <w:sz w:val="24"/>
                <w:szCs w:val="24"/>
              </w:rPr>
              <w:lastRenderedPageBreak/>
              <w:t>Федерации от 9.03.2022 № 308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Отсрочка уплаты утилизационного сбора для автопроизводителей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уплаты утилизационного сбора за I–III кварталы 2022 года для отечественных автопроизводителей перенесён на декабрь 2022. При этом предприятия отрасли, оказавшиеся под санкциями, могут уплатить сбор и за IV квартал 2021 года также в декабре 2022 года.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2022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Перенос сроков коснётся предприятий отечественных автопроизводителей, где трудится не менее 5 тысяч человек, и их дочерних компаний, в том числе субъектов </w:t>
            </w:r>
            <w:r>
              <w:rPr>
                <w:sz w:val="24"/>
                <w:szCs w:val="24"/>
              </w:rPr>
              <w:lastRenderedPageBreak/>
              <w:t>МСП.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Правительства Российской Федерации от 4.03.2022  № 287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IT-отрасли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3 года все IT-компании будут освобождены от уплаты налога на прибыль и от проверок контрольными органами. 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смогут на выгодных условиях взять кредиты на продолжение работы и новые проекты – по ставке, не превышающей 3%.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Правительство РФ предоставит сотрудникам таких компаний возможность оформить льготную ипотеку. А специалисты до достижения ими возраста 27 лет получат отсрочку от призыва на военную службу на время их работы в российских IT-компаниях.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расширена программа предоставления грантов на создание отечественных решений.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2024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налоговые преференции будут распространены на создателей приложений для мобильных устройств. Они станут доступны и организациям, занимающимся реализацией и установкой, тестированием, а также сопровождением отечественных решений.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Президента Российской Федерации от 02.03.2022 № 83 «О мерах по обеспечению ускоренного развития отрасли информационных технологий в Российской Федерации»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системообразующих компаний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возобновляет действие адресных мер поддержки для системообразующих организаций, действовавших в 2020 году в качестве антикризисной меры.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перечень мер поддержки, доступных для системообразующих компаний, прошедших отбор на право её получения, включены: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государственные гарантии, необходимые для реструктуризации кредитов или получения новых;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субсидии на возмещение затрат.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Потенциальным участникам программы не придётся проходить стресс-тесты (обязательную оценку финансовой устойчивости) - этот пункт исключен из правил для упрощения доступа к господдержке.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Правила отбора участников программы утверждены постановлением Правительства Российской Федерации от 6.03.2022 № 296.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на участие в программе подаются через профильные министерства. Они будут верифицироваться межведомственной комиссией Минэкономразвития России.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31 декабря 2022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Системообразующие организации по перечню, сформированному Минэкономразвития России.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6.03.2022  № 296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хлебопёков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российских хлебопёков направлено 2,5 млрд рублей.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пойдут на компенсацию предприятиям части затрат на производство и реализацию продукции. 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Предполагается, что размер возмещения увеличится с нынешних 2 тыс. до 2,5 тыс. рублей за тонну хлеба и хлебобулочных изделий с коротким сроком хранения (до пяти суток).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получившие компенсацию, должны будут, как и прежде, выполнить требования по фиксации цен на свою продукцию.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Предприятия хлебопекарной промышленности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</w:t>
            </w:r>
            <w:r>
              <w:rPr>
                <w:sz w:val="24"/>
                <w:szCs w:val="24"/>
              </w:rPr>
              <w:lastRenderedPageBreak/>
              <w:t>видов экономической деятельности (ОК 029-2014 (КДЕС Ред. 2) - 10.71.1).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Распоряжение Правительства Российской Федерации от 10.03.2022  № 468-р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12.03.2022 № 347</w:t>
            </w:r>
          </w:p>
        </w:tc>
      </w:tr>
      <w:tr w:rsidR="00197591" w:rsidTr="00736C48">
        <w:trPr>
          <w:trHeight w:val="276"/>
          <w:jc w:val="center"/>
        </w:trPr>
        <w:tc>
          <w:tcPr>
            <w:tcW w:w="2691" w:type="dxa"/>
            <w:vMerge w:val="restart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сервис «Биржа импортозамещения»</w:t>
            </w:r>
          </w:p>
        </w:tc>
        <w:tc>
          <w:tcPr>
            <w:tcW w:w="5246" w:type="dxa"/>
            <w:vMerge w:val="restart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прямого взаимодействия между российскими производственными компаниями и заказчиками.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запросов на приобретение промышленной продукции, запасных частей и комплектующих.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Поставщики направляют ценовые предложения и предлагают аналоги без дополнительных затрат, согласований и посредников.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позволяет собрать широкую базу поставщиков и автоматически рассылать приглашения к торгам. Кроме того осуществляется проверка производителей и их продукции на соответствие требованиям заказчиков. 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дополнительных финансовых сервисов - банковской гарантии, факторинга и лизинга - система позволяет снизить трудозатраты поставщиков.</w:t>
            </w:r>
          </w:p>
        </w:tc>
        <w:tc>
          <w:tcPr>
            <w:tcW w:w="2409" w:type="dxa"/>
            <w:vMerge w:val="restart"/>
          </w:tcPr>
          <w:p w:rsidR="00197591" w:rsidRDefault="00197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</w:tcPr>
          <w:p w:rsidR="00197591" w:rsidRDefault="0019759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торговая площадка ГПБ на базе Государственной информационной системы промышленности ГИСП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Обнуление НДС на 5 лет для инфраструктуры в туристической отрасли 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0-вой ставки НДС для компаний, которые инвестируют в создание туристических объектов.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инвесторов, которые строят, предоставляют в аренду и управление туристические объекты - гостиницы и иные средства размещения, - будет введена нулевая ставка НДС. Она будет действовать 5 лет с момента ввода этих объектов в эксплуатацию, в том числе после реконструкции.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Льготный НДС также смогут получить владельцы уже существующих гостиниц и иных средств размещения (для них ставка будет </w:t>
            </w:r>
            <w:r>
              <w:rPr>
                <w:sz w:val="24"/>
                <w:szCs w:val="24"/>
              </w:rPr>
              <w:lastRenderedPageBreak/>
              <w:t>действовать до 30.06.2027)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такая льгота будет предоставляться с момента получения первой выручки от продажи туристической услуги во вновь созданных и реконструированных «коллективных средствах размещения».</w:t>
            </w:r>
          </w:p>
        </w:tc>
        <w:tc>
          <w:tcPr>
            <w:tcW w:w="2409" w:type="dxa"/>
          </w:tcPr>
          <w:p w:rsidR="00197591" w:rsidRDefault="002F5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июня 2027 года</w:t>
            </w: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Субъекты МСП, которые предоставляют в аренду или управляют объектами туристической индустрии, в том числе гостиницами и кемпингами, или оказывают при них туристические и экскурсионные услуги, в частности с использованием </w:t>
            </w:r>
            <w:r>
              <w:rPr>
                <w:sz w:val="24"/>
                <w:szCs w:val="24"/>
              </w:rPr>
              <w:lastRenderedPageBreak/>
              <w:t>инфраструктуры объектов, например обеспечивают работу горнолыжных подъемников.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Планируется к введению</w:t>
            </w:r>
          </w:p>
        </w:tc>
      </w:tr>
      <w:tr w:rsidR="00197591" w:rsidTr="00736C48">
        <w:trPr>
          <w:trHeight w:val="276"/>
          <w:jc w:val="center"/>
        </w:trPr>
        <w:tc>
          <w:tcPr>
            <w:tcW w:w="2691" w:type="dxa"/>
            <w:vMerge w:val="restart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строительной отрасли</w:t>
            </w:r>
          </w:p>
        </w:tc>
        <w:tc>
          <w:tcPr>
            <w:tcW w:w="5246" w:type="dxa"/>
            <w:vMerge w:val="restart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разработки градостроительной документации, льготная аренда земельных участков и др.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Предполагается, что при разработке и согласовании градостроительной документации, например проекта планировки, могут быть отменены некоторые процедуры и сокращены сроки рассмотрения документов.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ускорить предоставление земельных участков под строительство и обеспечить продление действующих договоров аренды. При этом уполномоченные органы получат право устанавливать льготы для арендаторов.</w:t>
            </w: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Предусматривается упрощение регистрации права на построенные объекты.</w:t>
            </w:r>
          </w:p>
        </w:tc>
        <w:tc>
          <w:tcPr>
            <w:tcW w:w="2409" w:type="dxa"/>
            <w:vMerge w:val="restart"/>
          </w:tcPr>
          <w:p w:rsidR="00197591" w:rsidRDefault="00197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</w:tcPr>
          <w:p w:rsidR="00197591" w:rsidRDefault="0019759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к введению</w:t>
            </w:r>
          </w:p>
        </w:tc>
      </w:tr>
      <w:tr w:rsidR="00197591" w:rsidTr="00736C48">
        <w:trPr>
          <w:jc w:val="center"/>
        </w:trPr>
        <w:tc>
          <w:tcPr>
            <w:tcW w:w="2691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обязательной маркировки товаров</w:t>
            </w:r>
          </w:p>
        </w:tc>
        <w:tc>
          <w:tcPr>
            <w:tcW w:w="5246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Предполагается приостановить действие обязанностей по маркировке отдельных видов продукции.</w:t>
            </w:r>
          </w:p>
          <w:p w:rsidR="00197591" w:rsidRDefault="00197591">
            <w:pPr>
              <w:rPr>
                <w:sz w:val="24"/>
                <w:szCs w:val="24"/>
              </w:rPr>
            </w:pPr>
          </w:p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предполагается возможность введения моратория за привлечение к ответственности за несоблюдение требований по маркировке.</w:t>
            </w:r>
          </w:p>
        </w:tc>
        <w:tc>
          <w:tcPr>
            <w:tcW w:w="2409" w:type="dxa"/>
          </w:tcPr>
          <w:p w:rsidR="00197591" w:rsidRDefault="00197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</w:t>
            </w:r>
          </w:p>
        </w:tc>
        <w:tc>
          <w:tcPr>
            <w:tcW w:w="2398" w:type="dxa"/>
          </w:tcPr>
          <w:p w:rsidR="00197591" w:rsidRDefault="002F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к введению</w:t>
            </w:r>
            <w:bookmarkEnd w:id="1"/>
          </w:p>
        </w:tc>
      </w:tr>
    </w:tbl>
    <w:p w:rsidR="00197591" w:rsidRDefault="00197591">
      <w:pPr>
        <w:rPr>
          <w:b/>
          <w:bCs/>
          <w:u w:val="single"/>
        </w:rPr>
      </w:pPr>
    </w:p>
    <w:p w:rsidR="00197591" w:rsidRDefault="00197591">
      <w:pPr>
        <w:jc w:val="center"/>
        <w:rPr>
          <w:b/>
          <w:bCs/>
          <w:u w:val="single"/>
        </w:rPr>
      </w:pPr>
    </w:p>
    <w:p w:rsidR="00197591" w:rsidRDefault="00197591"/>
    <w:sectPr w:rsidR="00197591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3E" w:rsidRDefault="0093103E">
      <w:r>
        <w:separator/>
      </w:r>
    </w:p>
  </w:endnote>
  <w:endnote w:type="continuationSeparator" w:id="0">
    <w:p w:rsidR="0093103E" w:rsidRDefault="0093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3E" w:rsidRDefault="0093103E">
      <w:r>
        <w:separator/>
      </w:r>
    </w:p>
  </w:footnote>
  <w:footnote w:type="continuationSeparator" w:id="0">
    <w:p w:rsidR="0093103E" w:rsidRDefault="0093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85F"/>
    <w:multiLevelType w:val="hybridMultilevel"/>
    <w:tmpl w:val="9950FA48"/>
    <w:lvl w:ilvl="0" w:tplc="549A0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C4FAA0">
      <w:start w:val="1"/>
      <w:numFmt w:val="lowerLetter"/>
      <w:lvlText w:val="%2."/>
      <w:lvlJc w:val="left"/>
      <w:pPr>
        <w:ind w:left="1080" w:hanging="360"/>
      </w:pPr>
    </w:lvl>
    <w:lvl w:ilvl="2" w:tplc="6EC2A00C">
      <w:start w:val="1"/>
      <w:numFmt w:val="lowerRoman"/>
      <w:lvlText w:val="%3."/>
      <w:lvlJc w:val="right"/>
      <w:pPr>
        <w:ind w:left="1800" w:hanging="180"/>
      </w:pPr>
    </w:lvl>
    <w:lvl w:ilvl="3" w:tplc="7A30FC6A">
      <w:start w:val="1"/>
      <w:numFmt w:val="decimal"/>
      <w:lvlText w:val="%4."/>
      <w:lvlJc w:val="left"/>
      <w:pPr>
        <w:ind w:left="2520" w:hanging="360"/>
      </w:pPr>
    </w:lvl>
    <w:lvl w:ilvl="4" w:tplc="06F65EA8">
      <w:start w:val="1"/>
      <w:numFmt w:val="lowerLetter"/>
      <w:lvlText w:val="%5."/>
      <w:lvlJc w:val="left"/>
      <w:pPr>
        <w:ind w:left="3240" w:hanging="360"/>
      </w:pPr>
    </w:lvl>
    <w:lvl w:ilvl="5" w:tplc="B18A9B82">
      <w:start w:val="1"/>
      <w:numFmt w:val="lowerRoman"/>
      <w:lvlText w:val="%6."/>
      <w:lvlJc w:val="right"/>
      <w:pPr>
        <w:ind w:left="3960" w:hanging="180"/>
      </w:pPr>
    </w:lvl>
    <w:lvl w:ilvl="6" w:tplc="4CFE2942">
      <w:start w:val="1"/>
      <w:numFmt w:val="decimal"/>
      <w:lvlText w:val="%7."/>
      <w:lvlJc w:val="left"/>
      <w:pPr>
        <w:ind w:left="4680" w:hanging="360"/>
      </w:pPr>
    </w:lvl>
    <w:lvl w:ilvl="7" w:tplc="0E845232">
      <w:start w:val="1"/>
      <w:numFmt w:val="lowerLetter"/>
      <w:lvlText w:val="%8."/>
      <w:lvlJc w:val="left"/>
      <w:pPr>
        <w:ind w:left="5400" w:hanging="360"/>
      </w:pPr>
    </w:lvl>
    <w:lvl w:ilvl="8" w:tplc="B994E2A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9132B"/>
    <w:multiLevelType w:val="hybridMultilevel"/>
    <w:tmpl w:val="1472AE4A"/>
    <w:lvl w:ilvl="0" w:tplc="F604B0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2841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044AC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DDE5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E26DD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9ACF9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8E2C0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2A81A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EE03C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83535D3"/>
    <w:multiLevelType w:val="hybridMultilevel"/>
    <w:tmpl w:val="2D30E460"/>
    <w:lvl w:ilvl="0" w:tplc="C90A0978">
      <w:start w:val="1"/>
      <w:numFmt w:val="decimal"/>
      <w:lvlText w:val="%1."/>
      <w:lvlJc w:val="left"/>
      <w:pPr>
        <w:ind w:left="720" w:hanging="360"/>
      </w:pPr>
    </w:lvl>
    <w:lvl w:ilvl="1" w:tplc="9A38FE32">
      <w:start w:val="1"/>
      <w:numFmt w:val="lowerLetter"/>
      <w:lvlText w:val="%2."/>
      <w:lvlJc w:val="left"/>
      <w:pPr>
        <w:ind w:left="1440" w:hanging="360"/>
      </w:pPr>
    </w:lvl>
    <w:lvl w:ilvl="2" w:tplc="8684F628">
      <w:start w:val="1"/>
      <w:numFmt w:val="lowerRoman"/>
      <w:lvlText w:val="%3."/>
      <w:lvlJc w:val="right"/>
      <w:pPr>
        <w:ind w:left="2160" w:hanging="180"/>
      </w:pPr>
    </w:lvl>
    <w:lvl w:ilvl="3" w:tplc="05FAA0A2">
      <w:start w:val="1"/>
      <w:numFmt w:val="decimal"/>
      <w:lvlText w:val="%4."/>
      <w:lvlJc w:val="left"/>
      <w:pPr>
        <w:ind w:left="2880" w:hanging="360"/>
      </w:pPr>
    </w:lvl>
    <w:lvl w:ilvl="4" w:tplc="057E1BD0">
      <w:start w:val="1"/>
      <w:numFmt w:val="lowerLetter"/>
      <w:lvlText w:val="%5."/>
      <w:lvlJc w:val="left"/>
      <w:pPr>
        <w:ind w:left="3600" w:hanging="360"/>
      </w:pPr>
    </w:lvl>
    <w:lvl w:ilvl="5" w:tplc="61A671D2">
      <w:start w:val="1"/>
      <w:numFmt w:val="lowerRoman"/>
      <w:lvlText w:val="%6."/>
      <w:lvlJc w:val="right"/>
      <w:pPr>
        <w:ind w:left="4320" w:hanging="180"/>
      </w:pPr>
    </w:lvl>
    <w:lvl w:ilvl="6" w:tplc="E3E2E396">
      <w:start w:val="1"/>
      <w:numFmt w:val="decimal"/>
      <w:lvlText w:val="%7."/>
      <w:lvlJc w:val="left"/>
      <w:pPr>
        <w:ind w:left="5040" w:hanging="360"/>
      </w:pPr>
    </w:lvl>
    <w:lvl w:ilvl="7" w:tplc="81088C4A">
      <w:start w:val="1"/>
      <w:numFmt w:val="lowerLetter"/>
      <w:lvlText w:val="%8."/>
      <w:lvlJc w:val="left"/>
      <w:pPr>
        <w:ind w:left="5760" w:hanging="360"/>
      </w:pPr>
    </w:lvl>
    <w:lvl w:ilvl="8" w:tplc="694021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27E2"/>
    <w:multiLevelType w:val="hybridMultilevel"/>
    <w:tmpl w:val="994EF4DC"/>
    <w:lvl w:ilvl="0" w:tplc="293E9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7681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FCD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AC4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702A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0CD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AC7B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60A8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AA8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92C82"/>
    <w:multiLevelType w:val="hybridMultilevel"/>
    <w:tmpl w:val="7ED2A130"/>
    <w:lvl w:ilvl="0" w:tplc="4A96B5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C0EA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77672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018DE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B2896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9D49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E7A27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ED094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C044A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DBA3D32"/>
    <w:multiLevelType w:val="hybridMultilevel"/>
    <w:tmpl w:val="C1C2A068"/>
    <w:lvl w:ilvl="0" w:tplc="36C6A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6E815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F9868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08093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A0F3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5AE1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D0AD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00D9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9854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4E2089"/>
    <w:multiLevelType w:val="hybridMultilevel"/>
    <w:tmpl w:val="C234DE3C"/>
    <w:lvl w:ilvl="0" w:tplc="53D8F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68D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8C9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984B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A649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529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9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AE27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BCD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974FE"/>
    <w:multiLevelType w:val="hybridMultilevel"/>
    <w:tmpl w:val="1254659E"/>
    <w:lvl w:ilvl="0" w:tplc="E7FC4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D80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F649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028E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F4B1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AAF2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E806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123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522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0603B"/>
    <w:multiLevelType w:val="hybridMultilevel"/>
    <w:tmpl w:val="04F68E84"/>
    <w:lvl w:ilvl="0" w:tplc="EC424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0E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80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23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416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ED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09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E3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6F3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9349B"/>
    <w:multiLevelType w:val="hybridMultilevel"/>
    <w:tmpl w:val="D598CFC2"/>
    <w:lvl w:ilvl="0" w:tplc="C776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60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46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E1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C7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A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A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8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4C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4C1A"/>
    <w:multiLevelType w:val="hybridMultilevel"/>
    <w:tmpl w:val="A9245262"/>
    <w:lvl w:ilvl="0" w:tplc="DDCA4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6AE8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9C3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AE34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6AF3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E23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163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2C56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CAA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51E5A"/>
    <w:multiLevelType w:val="hybridMultilevel"/>
    <w:tmpl w:val="2D2EC360"/>
    <w:lvl w:ilvl="0" w:tplc="EC146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3A3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0A22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1094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1698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69430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B36CB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B8EC5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1674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B4718D"/>
    <w:multiLevelType w:val="hybridMultilevel"/>
    <w:tmpl w:val="FEFEF3AC"/>
    <w:lvl w:ilvl="0" w:tplc="ACF60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479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92CE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B494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29E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D0B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A886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2E22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7ED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008B0"/>
    <w:multiLevelType w:val="hybridMultilevel"/>
    <w:tmpl w:val="0E9862E4"/>
    <w:lvl w:ilvl="0" w:tplc="26C47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D929850">
      <w:start w:val="1"/>
      <w:numFmt w:val="lowerLetter"/>
      <w:lvlText w:val="%2."/>
      <w:lvlJc w:val="left"/>
      <w:pPr>
        <w:ind w:left="1440" w:hanging="360"/>
      </w:pPr>
    </w:lvl>
    <w:lvl w:ilvl="2" w:tplc="D9366730">
      <w:start w:val="1"/>
      <w:numFmt w:val="lowerRoman"/>
      <w:lvlText w:val="%3."/>
      <w:lvlJc w:val="right"/>
      <w:pPr>
        <w:ind w:left="2160" w:hanging="180"/>
      </w:pPr>
    </w:lvl>
    <w:lvl w:ilvl="3" w:tplc="1206E492">
      <w:start w:val="1"/>
      <w:numFmt w:val="decimal"/>
      <w:lvlText w:val="%4."/>
      <w:lvlJc w:val="left"/>
      <w:pPr>
        <w:ind w:left="2880" w:hanging="360"/>
      </w:pPr>
    </w:lvl>
    <w:lvl w:ilvl="4" w:tplc="600648D4">
      <w:start w:val="1"/>
      <w:numFmt w:val="lowerLetter"/>
      <w:lvlText w:val="%5."/>
      <w:lvlJc w:val="left"/>
      <w:pPr>
        <w:ind w:left="3600" w:hanging="360"/>
      </w:pPr>
    </w:lvl>
    <w:lvl w:ilvl="5" w:tplc="5E96213C">
      <w:start w:val="1"/>
      <w:numFmt w:val="lowerRoman"/>
      <w:lvlText w:val="%6."/>
      <w:lvlJc w:val="right"/>
      <w:pPr>
        <w:ind w:left="4320" w:hanging="180"/>
      </w:pPr>
    </w:lvl>
    <w:lvl w:ilvl="6" w:tplc="46906F5C">
      <w:start w:val="1"/>
      <w:numFmt w:val="decimal"/>
      <w:lvlText w:val="%7."/>
      <w:lvlJc w:val="left"/>
      <w:pPr>
        <w:ind w:left="5040" w:hanging="360"/>
      </w:pPr>
    </w:lvl>
    <w:lvl w:ilvl="7" w:tplc="7E0058E8">
      <w:start w:val="1"/>
      <w:numFmt w:val="lowerLetter"/>
      <w:lvlText w:val="%8."/>
      <w:lvlJc w:val="left"/>
      <w:pPr>
        <w:ind w:left="5760" w:hanging="360"/>
      </w:pPr>
    </w:lvl>
    <w:lvl w:ilvl="8" w:tplc="17AEEB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91"/>
    <w:rsid w:val="00197591"/>
    <w:rsid w:val="002F549D"/>
    <w:rsid w:val="004610EF"/>
    <w:rsid w:val="00736C48"/>
    <w:rsid w:val="0093103E"/>
    <w:rsid w:val="00C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EE54D-0DB5-4147-A13F-E2EE8730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table" w:styleId="af6">
    <w:name w:val="Table Grid"/>
    <w:basedOn w:val="a1"/>
    <w:uiPriority w:val="3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E1DFDD" w:fill="E1DFDD"/>
    </w:rPr>
  </w:style>
  <w:style w:type="character" w:customStyle="1" w:styleId="blk">
    <w:name w:val="blk"/>
    <w:basedOn w:val="a0"/>
  </w:style>
  <w:style w:type="character" w:customStyle="1" w:styleId="b">
    <w:name w:val="b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entered-btns2on">
    <w:name w:val="centered-btns2_on"/>
    <w:basedOn w:val="a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pPr>
      <w:widowControl w:val="0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3763" w:themeColor="accent1" w:themeShade="7F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Россихина М.Е.</cp:lastModifiedBy>
  <cp:revision>2</cp:revision>
  <dcterms:created xsi:type="dcterms:W3CDTF">2022-03-17T13:45:00Z</dcterms:created>
  <dcterms:modified xsi:type="dcterms:W3CDTF">2022-03-17T13:45:00Z</dcterms:modified>
</cp:coreProperties>
</file>